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A4B" w:rsidRPr="009F71CF" w:rsidRDefault="00CF6A4B" w:rsidP="00CF6A4B">
      <w:pPr>
        <w:rPr>
          <w:rFonts w:ascii="Times New Roman" w:eastAsia="Times New Roman" w:hAnsi="Times New Roman" w:cs="Times New Roman"/>
          <w:b/>
          <w:bCs/>
          <w:kern w:val="36"/>
          <w:sz w:val="28"/>
          <w:szCs w:val="28"/>
          <w:lang w:val="uk-UA" w:eastAsia="ru-RU"/>
        </w:rPr>
      </w:pPr>
      <w:r w:rsidRPr="009F71CF">
        <w:rPr>
          <w:noProof/>
          <w:lang w:val="uk-UA" w:eastAsia="uk-UA"/>
        </w:rPr>
        <mc:AlternateContent>
          <mc:Choice Requires="wps">
            <w:drawing>
              <wp:anchor distT="0" distB="0" distL="114300" distR="114300" simplePos="0" relativeHeight="251659264" behindDoc="0" locked="0" layoutInCell="1" allowOverlap="1" wp14:anchorId="50AFFE76" wp14:editId="0AC1E6D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6A4B" w:rsidRDefault="00CF6A4B" w:rsidP="00CF6A4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F6A4B" w:rsidRDefault="00CF6A4B" w:rsidP="00CF6A4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F6A4B" w:rsidRDefault="00CF6A4B" w:rsidP="00CF6A4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F6A4B" w:rsidRDefault="00CF6A4B" w:rsidP="00CF6A4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F6A4B" w:rsidRDefault="00CF6A4B" w:rsidP="00CF6A4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F6A4B" w:rsidRDefault="00CF6A4B" w:rsidP="00CF6A4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sidRPr="009F71CF">
        <w:rPr>
          <w:noProof/>
          <w:lang w:val="uk-UA" w:eastAsia="uk-UA"/>
        </w:rPr>
        <w:drawing>
          <wp:inline distT="0" distB="0" distL="0" distR="0" wp14:anchorId="4BC15DC8" wp14:editId="5437AAC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644A1" w:rsidRPr="00CF6A4B" w:rsidRDefault="009644A1" w:rsidP="009644A1">
      <w:pPr>
        <w:spacing w:after="0" w:line="240" w:lineRule="auto"/>
        <w:jc w:val="center"/>
        <w:rPr>
          <w:rFonts w:ascii="Times New Roman" w:eastAsia="Times New Roman" w:hAnsi="Times New Roman" w:cs="Times New Roman"/>
          <w:b/>
          <w:bCs/>
          <w:sz w:val="28"/>
          <w:szCs w:val="28"/>
          <w:lang w:val="uk-UA" w:eastAsia="ru-RU"/>
        </w:rPr>
      </w:pPr>
      <w:r w:rsidRPr="00CF6A4B">
        <w:rPr>
          <w:rFonts w:ascii="Times New Roman" w:eastAsia="Times New Roman" w:hAnsi="Times New Roman" w:cs="Times New Roman"/>
          <w:b/>
          <w:bCs/>
          <w:sz w:val="28"/>
          <w:szCs w:val="28"/>
          <w:lang w:val="uk-UA" w:eastAsia="ru-RU"/>
        </w:rPr>
        <w:t>Термін та порядок отримання автором електронного документа першої та другої квитанцій при надсиланні електронних документів в електронному вигляді</w:t>
      </w:r>
    </w:p>
    <w:p w:rsidR="009644A1" w:rsidRPr="00CF6A4B" w:rsidRDefault="009644A1" w:rsidP="009644A1">
      <w:pPr>
        <w:spacing w:after="0" w:line="240" w:lineRule="auto"/>
        <w:jc w:val="center"/>
        <w:rPr>
          <w:rFonts w:ascii="Times New Roman" w:hAnsi="Times New Roman" w:cs="Times New Roman"/>
          <w:sz w:val="28"/>
          <w:szCs w:val="28"/>
          <w:shd w:val="clear" w:color="auto" w:fill="FCFDFD"/>
          <w:lang w:val="uk-UA"/>
        </w:rPr>
      </w:pP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Абзацами першим та третім п. 42.6 ст. 42 Податкового кодексу України від 02 грудня 2010 року № 2755-VI зі змінами та доповненнями (далі – ПКУ) визначено, що електронний документообіг між платником податків та контролюючим органом здійснюється відповідно до ПКУ, законів України від 22 травня 2003 року № 851-IV «Про електронні документи та електронний документообіг» зі змінами та доповненнями (далі – Закон № 851) та від 05 жовтня 2017 року № 2155-VIII «Про електронні довірчі послуги» зі змінами та доповненнями (далі – Закон № 2155) без укладення відповідного договору.</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Платник податків стає суб’єктом електронного документообігу після надсилання до контролюючого органу першого будь-якого електронного документа у встановленому форматі з дотриманням вимог законів України № 851 та № 2155.</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Порядок обміну електронними документами платника податків та контролюючого органу затверджується центральним органом виконавчої влади, що забезпечує формування та реалізує державну фінансову політику (абзац десятий п. 42.6 ст. 42 ПКУ).</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Пунктом 2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обміну електронними документами з контролюючими органами, затвердженого наказом Міністерства фінансів України від 06.06.2017 № 557 (у редакції наказу Міністерства фінансів України від 01.06.2020 № 261) (далі – Порядок № 557), зокрема, визначено, що автор (платник) створює електронні документи у строки та відповідно до порядку, що визначені законодавством для відповідних документів в електронному та паперовому вигляді, із зазначенням всіх обов’язкових реквізитів та з використанням засобу кваліфікованого електронного підпису чи печатки, керуючись Порядком № 557.</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Створення електронного документа завершується накладанням на нього кваліфікованого електронного підпису </w:t>
      </w:r>
      <w:proofErr w:type="spellStart"/>
      <w:r w:rsidRPr="00CF6A4B">
        <w:rPr>
          <w:rFonts w:ascii="Times New Roman" w:hAnsi="Times New Roman" w:cs="Times New Roman"/>
          <w:color w:val="222222"/>
          <w:sz w:val="28"/>
          <w:szCs w:val="28"/>
          <w:shd w:val="clear" w:color="auto" w:fill="FCFDFD"/>
          <w:lang w:val="uk-UA"/>
        </w:rPr>
        <w:t>підписувача</w:t>
      </w:r>
      <w:proofErr w:type="spellEnd"/>
      <w:r w:rsidRPr="00CF6A4B">
        <w:rPr>
          <w:rFonts w:ascii="Times New Roman" w:hAnsi="Times New Roman" w:cs="Times New Roman"/>
          <w:color w:val="222222"/>
          <w:sz w:val="28"/>
          <w:szCs w:val="28"/>
          <w:shd w:val="clear" w:color="auto" w:fill="FCFDFD"/>
          <w:lang w:val="uk-UA"/>
        </w:rPr>
        <w:t xml:space="preserve"> (</w:t>
      </w:r>
      <w:proofErr w:type="spellStart"/>
      <w:r w:rsidRPr="00CF6A4B">
        <w:rPr>
          <w:rFonts w:ascii="Times New Roman" w:hAnsi="Times New Roman" w:cs="Times New Roman"/>
          <w:color w:val="222222"/>
          <w:sz w:val="28"/>
          <w:szCs w:val="28"/>
          <w:shd w:val="clear" w:color="auto" w:fill="FCFDFD"/>
          <w:lang w:val="uk-UA"/>
        </w:rPr>
        <w:t>підписувачів</w:t>
      </w:r>
      <w:proofErr w:type="spellEnd"/>
      <w:r w:rsidRPr="00CF6A4B">
        <w:rPr>
          <w:rFonts w:ascii="Times New Roman" w:hAnsi="Times New Roman" w:cs="Times New Roman"/>
          <w:color w:val="222222"/>
          <w:sz w:val="28"/>
          <w:szCs w:val="28"/>
          <w:shd w:val="clear" w:color="auto" w:fill="FCFDFD"/>
          <w:lang w:val="uk-UA"/>
        </w:rPr>
        <w:t>) та печатки (за наявності).</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Автор має право отримати кваліфіковану електронну довірчу послугу у будь-якого кваліфікованого надавача електронних довірчих послуг.</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Після накладання кваліфікованого електронного підпису автор здійснює шифрування електронного документа з дотриманням вимог до форматів криптографічних повідомлень, затверджених в установленому законодавством порядку, та надсилає його у форматі (стандарті) з </w:t>
      </w:r>
      <w:r w:rsidRPr="00CF6A4B">
        <w:rPr>
          <w:rFonts w:ascii="Times New Roman" w:hAnsi="Times New Roman" w:cs="Times New Roman"/>
          <w:color w:val="222222"/>
          <w:sz w:val="28"/>
          <w:szCs w:val="28"/>
          <w:shd w:val="clear" w:color="auto" w:fill="FCFDFD"/>
          <w:lang w:val="uk-UA"/>
        </w:rPr>
        <w:lastRenderedPageBreak/>
        <w:t xml:space="preserve">використанням телекомунікаційних мереж до адресата протягом операційного дня (п. 3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У разі якщо адресатом є контролюючий орган, після надходження електронного документа здійснюється його автоматизована перевірка (п. 5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Автоматизована перевірка здійснюється у день надходження або не пізніше наступного робочого дня, якщо електронний документ надійшов після закінчення операційного дня (п. 6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Згідно з п. 7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 автоматизована перевірка електронного документа включає:</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перевірку правового статусу кваліфікованого електронного підпису чи печатки відповідно до частини другої ст. 18 Закону № 2155;</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перевірку обов’язковості та послідовності накладання на електронний документ кваліфікованого електронного підпису чи печатки </w:t>
      </w:r>
      <w:proofErr w:type="spellStart"/>
      <w:r w:rsidRPr="00CF6A4B">
        <w:rPr>
          <w:rFonts w:ascii="Times New Roman" w:hAnsi="Times New Roman" w:cs="Times New Roman"/>
          <w:color w:val="222222"/>
          <w:sz w:val="28"/>
          <w:szCs w:val="28"/>
          <w:shd w:val="clear" w:color="auto" w:fill="FCFDFD"/>
          <w:lang w:val="uk-UA"/>
        </w:rPr>
        <w:t>підписувачів</w:t>
      </w:r>
      <w:proofErr w:type="spellEnd"/>
      <w:r w:rsidRPr="00CF6A4B">
        <w:rPr>
          <w:rFonts w:ascii="Times New Roman" w:hAnsi="Times New Roman" w:cs="Times New Roman"/>
          <w:color w:val="222222"/>
          <w:sz w:val="28"/>
          <w:szCs w:val="28"/>
          <w:shd w:val="clear" w:color="auto" w:fill="FCFDFD"/>
          <w:lang w:val="uk-UA"/>
        </w:rPr>
        <w:t xml:space="preserve"> у встановленому порядку;</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перевірку відповідності електронного документа затвердженому формату (стандарту);</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перевірку наявності обов’язкових реквізитів;</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перевірку права підпису електронного документа </w:t>
      </w:r>
      <w:proofErr w:type="spellStart"/>
      <w:r w:rsidRPr="00CF6A4B">
        <w:rPr>
          <w:rFonts w:ascii="Times New Roman" w:hAnsi="Times New Roman" w:cs="Times New Roman"/>
          <w:color w:val="222222"/>
          <w:sz w:val="28"/>
          <w:szCs w:val="28"/>
          <w:shd w:val="clear" w:color="auto" w:fill="FCFDFD"/>
          <w:lang w:val="uk-UA"/>
        </w:rPr>
        <w:t>підписувачем</w:t>
      </w:r>
      <w:proofErr w:type="spellEnd"/>
      <w:r w:rsidRPr="00CF6A4B">
        <w:rPr>
          <w:rFonts w:ascii="Times New Roman" w:hAnsi="Times New Roman" w:cs="Times New Roman"/>
          <w:color w:val="222222"/>
          <w:sz w:val="28"/>
          <w:szCs w:val="28"/>
          <w:shd w:val="clear" w:color="auto" w:fill="FCFDFD"/>
          <w:lang w:val="uk-UA"/>
        </w:rPr>
        <w:t>.</w:t>
      </w:r>
      <w:r w:rsidRPr="00CF6A4B">
        <w:rPr>
          <w:rFonts w:ascii="Times New Roman" w:hAnsi="Times New Roman" w:cs="Times New Roman"/>
          <w:color w:val="222222"/>
          <w:sz w:val="28"/>
          <w:szCs w:val="28"/>
          <w:lang w:val="uk-UA"/>
        </w:rPr>
        <w:br/>
      </w:r>
      <w:r w:rsidRPr="00CF6A4B">
        <w:rPr>
          <w:rFonts w:ascii="Times New Roman" w:hAnsi="Times New Roman" w:cs="Times New Roman"/>
          <w:color w:val="222222"/>
          <w:sz w:val="28"/>
          <w:szCs w:val="28"/>
          <w:shd w:val="clear" w:color="auto" w:fill="FCFDFD"/>
          <w:lang w:val="uk-UA"/>
        </w:rPr>
        <w:t xml:space="preserve">     Пунктом 8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 передбачено, що перша квитанція надсилається автору електронного документа протягом двох годин з часу його отримання контролюючим органом, в іншому разі – протягом перших двох годин наступного операційного дня.</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У першій квитанції, що формується за результатами автоматизованої перевірки, зазначеної у п. 7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 повідомляється про результати такої перевірки. У разі негативних результатів автоматизованої перевірки у першій квитанції повідомляється про неприйняття електронного документа із зазначенням причин, у такому випадку друга квитанція не формується. На першу квитанцію накладається печатка контролюючого органу, здійснюється її шифрування та надсилання автору електронного документа. Другий примірник першої квитанції в електронному вигляді зберігається в контролюючому органі.</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Якщо автору протягом встановленого строку після відправки електронного документа не надійшла перша квитанція, електронний документ вважається не одержаним адресатом.</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Відповідно до п. 9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 не пізніше наступного робочого дня з моменту формування першої квитанції, якщо інше не встановлено нормативно-правовими актами та Порядком № 557, формується друга квитанція.</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Друга квитанція є підтвердженням про прийняття (реєстрацію) або повідомленням про неприйняття в контролюючому органі електронного документа. В другій квитанції зазначаються реквізити прийнятого (зареєстрованого) або неприйнятого (із зазначенням причини) електронного документа, результати обробки в контролюючому органі (дата та час прийняття (реєстрації) або неприйняття, реєстраційний номер, дані про </w:t>
      </w:r>
      <w:r w:rsidRPr="00CF6A4B">
        <w:rPr>
          <w:rFonts w:ascii="Times New Roman" w:hAnsi="Times New Roman" w:cs="Times New Roman"/>
          <w:color w:val="222222"/>
          <w:sz w:val="28"/>
          <w:szCs w:val="28"/>
          <w:shd w:val="clear" w:color="auto" w:fill="FCFDFD"/>
          <w:lang w:val="uk-UA"/>
        </w:rPr>
        <w:lastRenderedPageBreak/>
        <w:t xml:space="preserve">автора та </w:t>
      </w:r>
      <w:proofErr w:type="spellStart"/>
      <w:r w:rsidRPr="00CF6A4B">
        <w:rPr>
          <w:rFonts w:ascii="Times New Roman" w:hAnsi="Times New Roman" w:cs="Times New Roman"/>
          <w:color w:val="222222"/>
          <w:sz w:val="28"/>
          <w:szCs w:val="28"/>
          <w:shd w:val="clear" w:color="auto" w:fill="FCFDFD"/>
          <w:lang w:val="uk-UA"/>
        </w:rPr>
        <w:t>підписувача</w:t>
      </w:r>
      <w:proofErr w:type="spellEnd"/>
      <w:r w:rsidRPr="00CF6A4B">
        <w:rPr>
          <w:rFonts w:ascii="Times New Roman" w:hAnsi="Times New Roman" w:cs="Times New Roman"/>
          <w:color w:val="222222"/>
          <w:sz w:val="28"/>
          <w:szCs w:val="28"/>
          <w:shd w:val="clear" w:color="auto" w:fill="FCFDFD"/>
          <w:lang w:val="uk-UA"/>
        </w:rPr>
        <w:t xml:space="preserve"> (</w:t>
      </w:r>
      <w:proofErr w:type="spellStart"/>
      <w:r w:rsidRPr="00CF6A4B">
        <w:rPr>
          <w:rFonts w:ascii="Times New Roman" w:hAnsi="Times New Roman" w:cs="Times New Roman"/>
          <w:color w:val="222222"/>
          <w:sz w:val="28"/>
          <w:szCs w:val="28"/>
          <w:shd w:val="clear" w:color="auto" w:fill="FCFDFD"/>
          <w:lang w:val="uk-UA"/>
        </w:rPr>
        <w:t>підписувачів</w:t>
      </w:r>
      <w:proofErr w:type="spellEnd"/>
      <w:r w:rsidRPr="00CF6A4B">
        <w:rPr>
          <w:rFonts w:ascii="Times New Roman" w:hAnsi="Times New Roman" w:cs="Times New Roman"/>
          <w:color w:val="222222"/>
          <w:sz w:val="28"/>
          <w:szCs w:val="28"/>
          <w:shd w:val="clear" w:color="auto" w:fill="FCFDFD"/>
          <w:lang w:val="uk-UA"/>
        </w:rPr>
        <w:t>) електронного документа та автора квитанції).</w:t>
      </w:r>
    </w:p>
    <w:p w:rsidR="009644A1"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На другу квитанцію накладається печатка відповідного контролюючого органу, здійснюється її шифрування та надсилання автору електронного документа. Другий примірник другої квитанції зберігається в контролюючому органі (п. 10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w:t>
      </w:r>
      <w:r w:rsidRPr="00CF6A4B">
        <w:rPr>
          <w:rFonts w:ascii="Times New Roman" w:hAnsi="Times New Roman" w:cs="Times New Roman"/>
          <w:color w:val="222222"/>
          <w:sz w:val="28"/>
          <w:szCs w:val="28"/>
          <w:lang w:val="uk-UA"/>
        </w:rPr>
        <w:br/>
      </w:r>
      <w:r w:rsidRPr="00CF6A4B">
        <w:rPr>
          <w:rFonts w:ascii="Times New Roman" w:hAnsi="Times New Roman" w:cs="Times New Roman"/>
          <w:color w:val="222222"/>
          <w:sz w:val="28"/>
          <w:szCs w:val="28"/>
          <w:shd w:val="clear" w:color="auto" w:fill="FCFDFD"/>
          <w:lang w:val="uk-UA"/>
        </w:rPr>
        <w:t xml:space="preserve">     У разі наявності другої квитанції про прийняття електронного документа датою та часом прийняття (реєстрації) електронного документа контролюючим органом вважаються дата та час, зафіксовані у першій квитанції (п. 11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w:t>
      </w:r>
    </w:p>
    <w:p w:rsidR="00074998" w:rsidRPr="00CF6A4B" w:rsidRDefault="009644A1" w:rsidP="009644A1">
      <w:pPr>
        <w:spacing w:after="0" w:line="240" w:lineRule="auto"/>
        <w:ind w:firstLine="567"/>
        <w:jc w:val="both"/>
        <w:rPr>
          <w:rFonts w:ascii="Times New Roman" w:hAnsi="Times New Roman" w:cs="Times New Roman"/>
          <w:color w:val="222222"/>
          <w:sz w:val="28"/>
          <w:szCs w:val="28"/>
          <w:shd w:val="clear" w:color="auto" w:fill="FCFDFD"/>
          <w:lang w:val="uk-UA"/>
        </w:rPr>
      </w:pPr>
      <w:r w:rsidRPr="00CF6A4B">
        <w:rPr>
          <w:rFonts w:ascii="Times New Roman" w:hAnsi="Times New Roman" w:cs="Times New Roman"/>
          <w:color w:val="222222"/>
          <w:sz w:val="28"/>
          <w:szCs w:val="28"/>
          <w:shd w:val="clear" w:color="auto" w:fill="FCFDFD"/>
          <w:lang w:val="uk-UA"/>
        </w:rPr>
        <w:t xml:space="preserve">Якщо автором надіслано до контролюючих органів кілька примірників одного електронного документа (у разі виправлення, неотримання першої квитанції тощо), оригіналом вважається електронний документ, надісланий до контролюючих органів останнім до закінчення граничного строку, встановленого законодавством для подання такого документа, за умови, що його було сформовано правильно та прийнято (зареєстровано), про що автору надійшла друга квитанція про прийняття (п. 12 </w:t>
      </w:r>
      <w:proofErr w:type="spellStart"/>
      <w:r w:rsidRPr="00CF6A4B">
        <w:rPr>
          <w:rFonts w:ascii="Times New Roman" w:hAnsi="Times New Roman" w:cs="Times New Roman"/>
          <w:color w:val="222222"/>
          <w:sz w:val="28"/>
          <w:szCs w:val="28"/>
          <w:shd w:val="clear" w:color="auto" w:fill="FCFDFD"/>
          <w:lang w:val="uk-UA"/>
        </w:rPr>
        <w:t>розд</w:t>
      </w:r>
      <w:proofErr w:type="spellEnd"/>
      <w:r w:rsidRPr="00CF6A4B">
        <w:rPr>
          <w:rFonts w:ascii="Times New Roman" w:hAnsi="Times New Roman" w:cs="Times New Roman"/>
          <w:color w:val="222222"/>
          <w:sz w:val="28"/>
          <w:szCs w:val="28"/>
          <w:shd w:val="clear" w:color="auto" w:fill="FCFDFD"/>
          <w:lang w:val="uk-UA"/>
        </w:rPr>
        <w:t>. ІІ Порядку № 557).</w:t>
      </w:r>
    </w:p>
    <w:p w:rsidR="00CF6A4B" w:rsidRPr="00CF6A4B" w:rsidRDefault="00CF6A4B" w:rsidP="009644A1">
      <w:pPr>
        <w:spacing w:after="0" w:line="240" w:lineRule="auto"/>
        <w:ind w:firstLine="567"/>
        <w:jc w:val="both"/>
        <w:rPr>
          <w:rFonts w:ascii="Times New Roman" w:hAnsi="Times New Roman" w:cs="Times New Roman"/>
          <w:color w:val="222222"/>
          <w:sz w:val="28"/>
          <w:szCs w:val="28"/>
          <w:shd w:val="clear" w:color="auto" w:fill="FCFDFD"/>
          <w:lang w:val="uk-UA"/>
        </w:rPr>
      </w:pPr>
    </w:p>
    <w:p w:rsidR="00CF6A4B" w:rsidRDefault="00CF6A4B"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Default="00093E99" w:rsidP="00CF6A4B">
      <w:pPr>
        <w:spacing w:after="0" w:line="240" w:lineRule="auto"/>
        <w:jc w:val="both"/>
        <w:rPr>
          <w:rFonts w:ascii="Times New Roman" w:hAnsi="Times New Roman" w:cs="Times New Roman"/>
          <w:sz w:val="28"/>
          <w:szCs w:val="28"/>
          <w:lang w:val="en-US"/>
        </w:rPr>
      </w:pPr>
    </w:p>
    <w:p w:rsidR="00093E99" w:rsidRPr="00093E99" w:rsidRDefault="00093E99" w:rsidP="00CF6A4B">
      <w:pPr>
        <w:spacing w:after="0" w:line="240" w:lineRule="auto"/>
        <w:jc w:val="both"/>
        <w:rPr>
          <w:rFonts w:ascii="Times New Roman" w:hAnsi="Times New Roman" w:cs="Times New Roman"/>
          <w:sz w:val="28"/>
          <w:szCs w:val="28"/>
          <w:lang w:val="en-US"/>
        </w:rPr>
      </w:pPr>
      <w:bookmarkStart w:id="1" w:name="_GoBack"/>
      <w:bookmarkEnd w:id="1"/>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Default="00CF6A4B" w:rsidP="00CF6A4B">
      <w:pPr>
        <w:spacing w:after="0" w:line="240" w:lineRule="auto"/>
        <w:jc w:val="both"/>
        <w:rPr>
          <w:rFonts w:ascii="Times New Roman" w:hAnsi="Times New Roman" w:cs="Times New Roman"/>
          <w:sz w:val="28"/>
          <w:szCs w:val="28"/>
          <w:lang w:val="uk-UA"/>
        </w:rPr>
      </w:pPr>
    </w:p>
    <w:p w:rsidR="00CF6A4B" w:rsidRPr="009F71CF" w:rsidRDefault="00CF6A4B" w:rsidP="00CF6A4B">
      <w:pPr>
        <w:spacing w:after="0" w:line="240" w:lineRule="auto"/>
        <w:jc w:val="both"/>
        <w:rPr>
          <w:rFonts w:ascii="Times New Roman" w:hAnsi="Times New Roman" w:cs="Times New Roman"/>
          <w:sz w:val="28"/>
          <w:szCs w:val="28"/>
          <w:lang w:val="uk-UA"/>
        </w:rPr>
      </w:pPr>
    </w:p>
    <w:p w:rsidR="00CF6A4B" w:rsidRPr="00093E99" w:rsidRDefault="00CF6A4B" w:rsidP="00CF6A4B">
      <w:pPr>
        <w:spacing w:after="0" w:line="240" w:lineRule="auto"/>
        <w:jc w:val="both"/>
        <w:rPr>
          <w:rFonts w:ascii="Times New Roman" w:hAnsi="Times New Roman" w:cs="Times New Roman"/>
          <w:sz w:val="20"/>
          <w:szCs w:val="20"/>
          <w:lang w:val="uk-UA"/>
        </w:rPr>
      </w:pPr>
      <w:r w:rsidRPr="00093E99">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093E99">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093E99">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093E99">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093E99">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093E99">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093E99">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CF6A4B" w:rsidRPr="00EA716F" w:rsidRDefault="00CF6A4B" w:rsidP="00CF6A4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CF6A4B" w:rsidRPr="00CF6A4B" w:rsidRDefault="00CF6A4B" w:rsidP="009644A1">
      <w:pPr>
        <w:spacing w:after="0" w:line="240" w:lineRule="auto"/>
        <w:ind w:firstLine="567"/>
        <w:jc w:val="both"/>
        <w:rPr>
          <w:rFonts w:ascii="Times New Roman" w:hAnsi="Times New Roman" w:cs="Times New Roman"/>
          <w:sz w:val="28"/>
          <w:szCs w:val="28"/>
        </w:rPr>
      </w:pPr>
    </w:p>
    <w:sectPr w:rsidR="00CF6A4B" w:rsidRPr="00CF6A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4A1"/>
    <w:rsid w:val="00074998"/>
    <w:rsid w:val="00093E99"/>
    <w:rsid w:val="009644A1"/>
    <w:rsid w:val="00CF6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644A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644A1"/>
    <w:rPr>
      <w:rFonts w:ascii="Times New Roman" w:eastAsia="Times New Roman" w:hAnsi="Times New Roman" w:cs="Times New Roman"/>
      <w:b/>
      <w:bCs/>
      <w:sz w:val="27"/>
      <w:szCs w:val="27"/>
      <w:lang w:eastAsia="ru-RU"/>
    </w:rPr>
  </w:style>
  <w:style w:type="character" w:customStyle="1" w:styleId="z-label">
    <w:name w:val="z-label"/>
    <w:basedOn w:val="a0"/>
    <w:rsid w:val="00CF6A4B"/>
  </w:style>
  <w:style w:type="paragraph" w:styleId="a3">
    <w:name w:val="Balloon Text"/>
    <w:basedOn w:val="a"/>
    <w:link w:val="a4"/>
    <w:uiPriority w:val="99"/>
    <w:semiHidden/>
    <w:unhideWhenUsed/>
    <w:rsid w:val="00CF6A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6A4B"/>
    <w:rPr>
      <w:rFonts w:ascii="Tahoma" w:hAnsi="Tahoma" w:cs="Tahoma"/>
      <w:sz w:val="16"/>
      <w:szCs w:val="16"/>
    </w:rPr>
  </w:style>
  <w:style w:type="character" w:styleId="a5">
    <w:name w:val="Hyperlink"/>
    <w:uiPriority w:val="99"/>
    <w:rsid w:val="00CF6A4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9644A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644A1"/>
    <w:rPr>
      <w:rFonts w:ascii="Times New Roman" w:eastAsia="Times New Roman" w:hAnsi="Times New Roman" w:cs="Times New Roman"/>
      <w:b/>
      <w:bCs/>
      <w:sz w:val="27"/>
      <w:szCs w:val="27"/>
      <w:lang w:eastAsia="ru-RU"/>
    </w:rPr>
  </w:style>
  <w:style w:type="character" w:customStyle="1" w:styleId="z-label">
    <w:name w:val="z-label"/>
    <w:basedOn w:val="a0"/>
    <w:rsid w:val="00CF6A4B"/>
  </w:style>
  <w:style w:type="paragraph" w:styleId="a3">
    <w:name w:val="Balloon Text"/>
    <w:basedOn w:val="a"/>
    <w:link w:val="a4"/>
    <w:uiPriority w:val="99"/>
    <w:semiHidden/>
    <w:unhideWhenUsed/>
    <w:rsid w:val="00CF6A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6A4B"/>
    <w:rPr>
      <w:rFonts w:ascii="Tahoma" w:hAnsi="Tahoma" w:cs="Tahoma"/>
      <w:sz w:val="16"/>
      <w:szCs w:val="16"/>
    </w:rPr>
  </w:style>
  <w:style w:type="character" w:styleId="a5">
    <w:name w:val="Hyperlink"/>
    <w:uiPriority w:val="99"/>
    <w:rsid w:val="00CF6A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72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4064</Words>
  <Characters>2318</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cp:lastPrinted>2022-04-21T08:08:00Z</cp:lastPrinted>
  <dcterms:created xsi:type="dcterms:W3CDTF">2022-04-21T07:12:00Z</dcterms:created>
  <dcterms:modified xsi:type="dcterms:W3CDTF">2022-04-25T07:46:00Z</dcterms:modified>
</cp:coreProperties>
</file>